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CB" w:rsidRPr="007E12CB" w:rsidRDefault="007E12CB" w:rsidP="007E12CB">
      <w:pPr>
        <w:suppressAutoHyphens/>
        <w:jc w:val="center"/>
        <w:rPr>
          <w:rFonts w:eastAsia="Calibri"/>
          <w:b/>
          <w:kern w:val="2"/>
          <w:sz w:val="24"/>
          <w:szCs w:val="24"/>
          <w:lang w:val="ru-RU" w:eastAsia="hi-IN" w:bidi="hi-IN"/>
        </w:rPr>
      </w:pPr>
      <w:r w:rsidRPr="007E12CB">
        <w:rPr>
          <w:rFonts w:eastAsia="Calibri"/>
          <w:b/>
          <w:kern w:val="2"/>
          <w:sz w:val="24"/>
          <w:szCs w:val="24"/>
          <w:lang w:val="ru-RU" w:eastAsia="hi-IN" w:bidi="hi-IN"/>
        </w:rPr>
        <w:t>Муниципальное общеобразовательное учреждение</w:t>
      </w:r>
    </w:p>
    <w:p w:rsidR="007E12CB" w:rsidRPr="007E12CB" w:rsidRDefault="007E12CB" w:rsidP="007E12CB">
      <w:pPr>
        <w:suppressAutoHyphens/>
        <w:jc w:val="center"/>
        <w:rPr>
          <w:rFonts w:eastAsia="Calibri"/>
          <w:b/>
          <w:kern w:val="2"/>
          <w:sz w:val="24"/>
          <w:szCs w:val="24"/>
          <w:lang w:val="ru-RU" w:eastAsia="hi-IN" w:bidi="hi-IN"/>
        </w:rPr>
      </w:pPr>
      <w:r w:rsidRPr="007E12CB">
        <w:rPr>
          <w:rFonts w:eastAsia="Calibri"/>
          <w:b/>
          <w:kern w:val="2"/>
          <w:sz w:val="24"/>
          <w:szCs w:val="24"/>
          <w:lang w:val="ru-RU" w:eastAsia="hi-IN" w:bidi="hi-IN"/>
        </w:rPr>
        <w:t>«Школа имени Евгения Родионова»</w:t>
      </w:r>
    </w:p>
    <w:tbl>
      <w:tblPr>
        <w:tblpPr w:leftFromText="180" w:rightFromText="180" w:bottomFromText="200" w:vertAnchor="text" w:horzAnchor="margin" w:tblpY="1165"/>
        <w:tblW w:w="3719" w:type="dxa"/>
        <w:tblLook w:val="00A0" w:firstRow="1" w:lastRow="0" w:firstColumn="1" w:lastColumn="0" w:noHBand="0" w:noVBand="0"/>
      </w:tblPr>
      <w:tblGrid>
        <w:gridCol w:w="3719"/>
      </w:tblGrid>
      <w:tr w:rsidR="007E12CB" w:rsidRPr="007E12CB" w:rsidTr="007E12CB">
        <w:trPr>
          <w:trHeight w:val="1080"/>
        </w:trPr>
        <w:tc>
          <w:tcPr>
            <w:tcW w:w="3719" w:type="dxa"/>
            <w:hideMark/>
          </w:tcPr>
          <w:p w:rsidR="007E12CB" w:rsidRPr="007E12CB" w:rsidRDefault="007E12CB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proofErr w:type="gramStart"/>
            <w:r w:rsidRPr="007E12CB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Рассмотрена</w:t>
            </w:r>
            <w:proofErr w:type="gramEnd"/>
            <w:r w:rsidRPr="007E12CB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 xml:space="preserve"> на заседании Педагогического совета </w:t>
            </w:r>
          </w:p>
          <w:p w:rsidR="007E12CB" w:rsidRPr="007E12CB" w:rsidRDefault="007E12CB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(протокол № 1 от 30.08.2023)</w:t>
            </w:r>
          </w:p>
        </w:tc>
      </w:tr>
    </w:tbl>
    <w:p w:rsidR="007E12CB" w:rsidRPr="007E12CB" w:rsidRDefault="007E12CB" w:rsidP="007E12CB">
      <w:pPr>
        <w:suppressAutoHyphens/>
        <w:rPr>
          <w:rFonts w:eastAsia="Calibri"/>
          <w:kern w:val="2"/>
          <w:sz w:val="24"/>
          <w:szCs w:val="24"/>
          <w:lang w:val="ru-RU" w:eastAsia="hi-IN" w:bidi="hi-IN"/>
        </w:rPr>
      </w:pPr>
    </w:p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tbl>
      <w:tblPr>
        <w:tblpPr w:leftFromText="180" w:rightFromText="180" w:bottomFromText="200" w:vertAnchor="text" w:horzAnchor="page" w:tblpX="7531" w:tblpY="8"/>
        <w:tblOverlap w:val="never"/>
        <w:tblW w:w="3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7E12CB" w:rsidRPr="007E12CB" w:rsidTr="007E12CB">
        <w:trPr>
          <w:trHeight w:val="8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12CB" w:rsidRPr="007E12CB" w:rsidRDefault="007E12CB" w:rsidP="007E12CB">
            <w:pPr>
              <w:suppressAutoHyphens/>
              <w:textAlignment w:val="baseline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>УТВЕРЖДЕНА</w:t>
            </w:r>
            <w:r>
              <w:rPr>
                <w:rFonts w:eastAsia="Calibri"/>
                <w:kern w:val="2"/>
                <w:sz w:val="24"/>
                <w:szCs w:val="24"/>
                <w:lang w:bidi="hi-IN"/>
              </w:rPr>
              <w:t> </w:t>
            </w:r>
          </w:p>
          <w:p w:rsidR="007E12CB" w:rsidRPr="007E12CB" w:rsidRDefault="007E12CB" w:rsidP="007E12CB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val="ru-RU" w:bidi="hi-IN"/>
              </w:rPr>
            </w:pPr>
          </w:p>
          <w:p w:rsidR="007E12CB" w:rsidRPr="007E12CB" w:rsidRDefault="007E12CB" w:rsidP="007E12CB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val="ru-RU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>приказом</w:t>
            </w:r>
            <w:r>
              <w:rPr>
                <w:rFonts w:eastAsia="Calibri"/>
                <w:kern w:val="2"/>
                <w:sz w:val="24"/>
                <w:szCs w:val="24"/>
                <w:lang w:bidi="hi-IN"/>
              </w:rPr>
              <w:t> </w:t>
            </w: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>по школе</w:t>
            </w:r>
          </w:p>
          <w:p w:rsidR="007E12CB" w:rsidRPr="007E12CB" w:rsidRDefault="007E12CB" w:rsidP="007E12C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 xml:space="preserve">от 30.08.23 г. №  </w:t>
            </w:r>
            <w:r>
              <w:rPr>
                <w:rFonts w:eastAsia="Calibri"/>
                <w:kern w:val="2"/>
                <w:sz w:val="24"/>
                <w:szCs w:val="24"/>
                <w:lang w:val="ru-RU" w:bidi="hi-IN"/>
              </w:rPr>
              <w:t>224</w:t>
            </w: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 xml:space="preserve"> </w:t>
            </w:r>
          </w:p>
        </w:tc>
      </w:tr>
    </w:tbl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0129" w:rsidRPr="007E12CB" w:rsidRDefault="007E12CB" w:rsidP="007E12CB">
      <w:pPr>
        <w:spacing w:line="276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bookmarkStart w:id="0" w:name="_GoBack"/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Рабочая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программа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курса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внеурочной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деятельности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будущее»</w:t>
      </w:r>
      <w:r w:rsidRPr="007E12CB">
        <w:rPr>
          <w:sz w:val="44"/>
          <w:szCs w:val="44"/>
          <w:lang w:val="ru-RU"/>
        </w:rPr>
        <w:br/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(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мои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горизонты»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)</w:t>
      </w:r>
      <w:r w:rsidRPr="007E12CB">
        <w:rPr>
          <w:sz w:val="44"/>
          <w:szCs w:val="44"/>
          <w:lang w:val="ru-RU"/>
        </w:rPr>
        <w:br/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10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11-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х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классов</w:t>
      </w:r>
    </w:p>
    <w:bookmarkEnd w:id="0"/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 w:rsidP="007E12CB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Д. Судино, 2023</w:t>
      </w:r>
    </w:p>
    <w:p w:rsidR="00720129" w:rsidRPr="007E12CB" w:rsidRDefault="007E12CB" w:rsidP="007E12CB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7E12CB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горизонты»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«Школа имени Евгения Родионова»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24.07.1998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124-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внесенными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12.08.2022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732);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371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2023/2024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17.08.2023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-1773/05;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обновленных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05.07.2022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-1290/03;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-808/05;</w:t>
      </w:r>
    </w:p>
    <w:p w:rsidR="00720129" w:rsidRPr="007E12CB" w:rsidRDefault="007E12CB" w:rsidP="007E12CB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внеурочно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«Школа имени Евгения Родионова»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30.08.2023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224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 w:rsidP="007E12CB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МОУ «Школа имени Евгения Родионова». 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абочая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апробированных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Всероссийском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эффективный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активизирующего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консультативного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вовлечению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ГПС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</w:rPr>
        <w:t>МОУ 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</w:rPr>
        <w:t>имени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</w:rPr>
        <w:t>Евгения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</w:rPr>
        <w:t>Родионова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</w:rPr>
        <w:t xml:space="preserve">». 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20129" w:rsidRPr="007E12CB" w:rsidRDefault="007E12CB" w:rsidP="007E12CB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Pr="007E12CB">
        <w:rPr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МОУ «Школа имени Евгения Родионова»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основанной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мотив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ационно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активизирующего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практикоориентированного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консультационного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ГПС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вовлечению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исходный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знаниевой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продемонстрирует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перспективными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востребованными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самонавигации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значимого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ооценки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20129" w:rsidRPr="007E12CB" w:rsidRDefault="007E12C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овному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залогу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ощущения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уверенности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завтрашнем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среднюю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включ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организуемую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разновозрастных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вовлечённость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E12CB">
        <w:rPr>
          <w:b/>
          <w:bCs/>
          <w:color w:val="252525"/>
          <w:spacing w:val="-2"/>
          <w:sz w:val="42"/>
          <w:szCs w:val="42"/>
          <w:lang w:val="ru-RU"/>
        </w:rPr>
        <w:t xml:space="preserve">СОДЕРЖАНИЕ </w:t>
      </w:r>
      <w:r w:rsidRPr="007E12CB">
        <w:rPr>
          <w:b/>
          <w:bCs/>
          <w:color w:val="252525"/>
          <w:spacing w:val="-2"/>
          <w:sz w:val="42"/>
          <w:szCs w:val="42"/>
          <w:lang w:val="ru-RU"/>
        </w:rPr>
        <w:t>УЧЕБНОГО КУРСА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Вводный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горизонты»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обзор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экономического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РФ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счастье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безграничных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счастьем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востребованных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здо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ровье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промышленность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добыча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логистика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креативные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торговля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финанс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</w:t>
      </w:r>
      <w:r>
        <w:rPr>
          <w:rFonts w:hAnsi="Times New Roman" w:cs="Times New Roman"/>
          <w:color w:val="000000"/>
          <w:sz w:val="24"/>
          <w:szCs w:val="24"/>
        </w:rPr>
        <w:t>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гуманитарное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«Проигрывание»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альтернатив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компетентностном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профиле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взглянуть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рофессиональные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ждут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призму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раскрыта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карьерных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ательной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вузы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шага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ультатов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«Мой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профиль»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филь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  <w:proofErr w:type="gramEnd"/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офориентационная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«Система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ионального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стратегии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обсуждают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школьники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науки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приуроче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приуроченная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импортозамещение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авиастроение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судовождение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судостроение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рекомендуется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ниш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внедряются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займет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достойное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формируя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устойчивый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тренд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предложены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авиастроение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судовождение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судостроение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лесная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/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ориентиры»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тяжелая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добыча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переработка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сырья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важнейших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шленности»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металлург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аддитивным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искусственный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интеллект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сквозных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программист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</w:t>
      </w:r>
      <w:r>
        <w:rPr>
          <w:rFonts w:hAnsi="Times New Roman" w:cs="Times New Roman"/>
          <w:color w:val="000000"/>
          <w:sz w:val="24"/>
          <w:szCs w:val="24"/>
        </w:rPr>
        <w:t>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реабилитация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рекомендуется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2)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ниш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внедряются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займет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достойное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формируя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устойчивый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тренд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предложе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реабилитация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генетика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таланты»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таланты»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таланты»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подсвечиванием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«зон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потенциала»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талантов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иагностику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непонимание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дациями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доступно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методикам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способности»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увеличивает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ноутбуки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мобиль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инженерного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машиностроение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Популяризация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инжиниринговой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конструктор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электромонтер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/).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14. </w:t>
      </w:r>
      <w:proofErr w:type="spellStart"/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«Государственное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военная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правоохранительная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службах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proofErr w:type="gramEnd"/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актуализируют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ответственны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рганах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релевантном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госструктурах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актуализируют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структурах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кибербезопасности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юрист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рефлексия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«Моё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страна»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карьерных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рефлексивного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субъектной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плодородная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агропромышленного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агропромышленный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агропромышленного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аграрной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агроном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зоотехник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аграрной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здравоо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здравоохранения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фармацевтика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биотехнологии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алистами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врач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телемедицины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социального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гостеприимст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туризма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гостеприимства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экономическ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менеджер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туризму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благотворительных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креативной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индустрий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пективах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креативного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24.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дизайнер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продюсер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25.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«Один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1)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актер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личностями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ведущими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воплотить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детские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шоу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эколог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2) (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пожарный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ветеринар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повар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личностями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блогер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артистами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ведущими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воплотить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детские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шоу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ветеринар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27.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сериал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героями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омства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историй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просмотру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конструкторского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«ОДК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Авиадвигатели»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владелец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фермы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«Российские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шеф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ресторана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пожарно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спасательной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пилот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авиакомпании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«Аэрофлот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авиалинии»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полицейский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кинолог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батальона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патрульно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метрополи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тене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автомобилей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Камаз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архитектор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«Архитектурного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бюро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Маликова»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Курчатовского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НБИКС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НИЦ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«Курчатовский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институт»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«ОДК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Авиадвигатели»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скульптор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Курчатовского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нейтринных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НИЦ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«Курчатовский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институт»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сериал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героями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торией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мотивирует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просмот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сварщик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Музее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оптики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ЛФК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педиатр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Псковской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инфекционной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больницы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основательница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концепт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«Па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латы»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основатель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сыровар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ЧПУ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замдиректора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+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краевед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бюро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окончательной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завода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«Тонар»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травматолог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ортопед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клинический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ординатор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29.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33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марафона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инженерии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30.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промышленности»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омпетенциях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32.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креативной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креативной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34.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«Моё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Моя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страна»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приобретенного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рынком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отраслями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дальнейших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E12CB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тупки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выстр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аивая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построени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изменяющимся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потребн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связывать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сновными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Метапредмет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авнения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струмент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несложным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универсальным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возраж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20129" w:rsidRPr="007E12CB" w:rsidRDefault="007E12C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«мозговые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штурмы»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предоставле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составлят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момотивации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возникш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Default="007E12CB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</w:t>
      </w:r>
      <w:r>
        <w:rPr>
          <w:rFonts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Pr="007E12CB" w:rsidRDefault="007E12CB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Default="007E12C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Pr="007E12CB" w:rsidRDefault="007E12CB">
            <w:pPr>
              <w:rPr>
                <w:lang w:val="ru-RU"/>
              </w:rPr>
            </w:pP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отводимых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каждой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ЭОР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горизонты»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«Открой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своё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</w:p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«Система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приуроченная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авиастроение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судовождение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судостроение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добыча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металлург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таланты»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машиностроение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«Государственное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еральная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«Моё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плодородная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аграрной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агроном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зоотехник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фармацевтика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туризму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продюсер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«Моё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Pr="007E12CB" w:rsidRDefault="007E12CB">
            <w:pPr>
              <w:rPr>
                <w:lang w:val="ru-RU"/>
              </w:rPr>
            </w:pP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каждой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горизонты»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«Открой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своё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</w:p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«Система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ступления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приуроченная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авиастроение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судовождение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судостроение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добыча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металлург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таланты»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машиностроение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«Государственное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«Моё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плодородная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аграрной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агроном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зоотехник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фармацевтика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профессиях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ального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туризму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рганизатор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благотворительных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продюсер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креативной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«Моё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7E12CB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4B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06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55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A6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F6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37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65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96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E7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13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81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E0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81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04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76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A5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F0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A0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56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85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26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72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B83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94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72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F0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F56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B5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19"/>
  </w:num>
  <w:num w:numId="6">
    <w:abstractNumId w:val="6"/>
  </w:num>
  <w:num w:numId="7">
    <w:abstractNumId w:val="23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18"/>
  </w:num>
  <w:num w:numId="14">
    <w:abstractNumId w:val="27"/>
  </w:num>
  <w:num w:numId="15">
    <w:abstractNumId w:val="24"/>
  </w:num>
  <w:num w:numId="16">
    <w:abstractNumId w:val="30"/>
  </w:num>
  <w:num w:numId="17">
    <w:abstractNumId w:val="28"/>
  </w:num>
  <w:num w:numId="18">
    <w:abstractNumId w:val="26"/>
  </w:num>
  <w:num w:numId="19">
    <w:abstractNumId w:val="22"/>
  </w:num>
  <w:num w:numId="20">
    <w:abstractNumId w:val="25"/>
  </w:num>
  <w:num w:numId="21">
    <w:abstractNumId w:val="11"/>
  </w:num>
  <w:num w:numId="22">
    <w:abstractNumId w:val="2"/>
  </w:num>
  <w:num w:numId="23">
    <w:abstractNumId w:val="10"/>
  </w:num>
  <w:num w:numId="24">
    <w:abstractNumId w:val="16"/>
  </w:num>
  <w:num w:numId="25">
    <w:abstractNumId w:val="21"/>
  </w:num>
  <w:num w:numId="26">
    <w:abstractNumId w:val="5"/>
  </w:num>
  <w:num w:numId="27">
    <w:abstractNumId w:val="20"/>
  </w:num>
  <w:num w:numId="28">
    <w:abstractNumId w:val="9"/>
  </w:num>
  <w:num w:numId="29">
    <w:abstractNumId w:val="29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20129"/>
    <w:rsid w:val="007E12C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9686</Words>
  <Characters>55214</Characters>
  <Application>Microsoft Office Word</Application>
  <DocSecurity>0</DocSecurity>
  <Lines>460</Lines>
  <Paragraphs>129</Paragraphs>
  <ScaleCrop>false</ScaleCrop>
  <Company/>
  <LinksUpToDate>false</LinksUpToDate>
  <CharactersWithSpaces>64771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valeri talanov</cp:lastModifiedBy>
  <cp:revision>2</cp:revision>
  <dcterms:created xsi:type="dcterms:W3CDTF">2011-11-02T04:15:00Z</dcterms:created>
  <dcterms:modified xsi:type="dcterms:W3CDTF">2023-09-10T11:07:00Z</dcterms:modified>
</cp:coreProperties>
</file>