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7" w:rsidRPr="00855953" w:rsidRDefault="00DD5187" w:rsidP="0085595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5953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Консультация</w:t>
      </w:r>
    </w:p>
    <w:p w:rsidR="00DD5187" w:rsidRPr="00855953" w:rsidRDefault="00DD5187" w:rsidP="0085595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5953">
        <w:rPr>
          <w:rFonts w:ascii="Times New Roman" w:hAnsi="Times New Roman" w:cs="Times New Roman"/>
          <w:b/>
          <w:sz w:val="24"/>
          <w:szCs w:val="24"/>
          <w:lang w:eastAsia="ru-RU"/>
        </w:rPr>
        <w:t>для участников школьного этапа конкурса «Учитель года »</w:t>
      </w:r>
    </w:p>
    <w:p w:rsidR="00DD5187" w:rsidRPr="00855953" w:rsidRDefault="00DD5187" w:rsidP="0085595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5953">
        <w:rPr>
          <w:rFonts w:ascii="Times New Roman" w:hAnsi="Times New Roman" w:cs="Times New Roman"/>
          <w:b/>
          <w:sz w:val="24"/>
          <w:szCs w:val="24"/>
          <w:lang w:eastAsia="ru-RU"/>
        </w:rPr>
        <w:t>по теме «Защита (представление) педагогического опыта».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помочь участникам конкурса рассказать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 своих методиках и технологиях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собственный профессиональный мир во всей сложности его соприкосновения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мирами учителей разных предметов, педагогов </w:t>
      </w:r>
      <w:hyperlink r:id="rId4" w:tooltip="Дополнительное образование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дополнительного образования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учеников, представителей общественных организаций, работников науки и культуры, медицины и т. д.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оценивания </w:t>
      </w:r>
      <w:r w:rsidRPr="00855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 конкурсного испытания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анализировать, обобщать, выявлять и применять инновационные идеи в своей </w:t>
      </w:r>
      <w:hyperlink r:id="rId5" w:tooltip="Профессиональная деятельность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 профессиональная эрудиция;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публичного выступления;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 аудиторией.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Интересующее нас лексическое значение слова «опыт» в «Толковом словаре </w:t>
      </w:r>
      <w:hyperlink r:id="rId6" w:tooltip="Русский язык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русского языка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С. И. Ожегова, Н. Ю. Шведовой (онлайн-версия)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трактуется как «с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овокупность знаний и практически усвоенных навыков, умений».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опыта работы педагога включает следующие содержательные компоненты: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актуальность темы;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ценностные ориентиры и ведущая идея педагогической деятельности;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цель и задачи системы работы педагога;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технология реализации ведущей педагогической идеи;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новизна и продуктивность деятельности педагога.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подробнее каждую из перечисленных выше составляющих.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 Актуальность темы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актуальности заявленной темы описания опыта работы педагогу необходимо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начать с анализа образовательной практики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ответов на вопросы: что является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положительным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собственном педагогическом опыте, какие возникают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трудности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(проблемы, противоречия) в своей деятельности и в учебной деятельности учеников при решении образовательных задач в кон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кретных условиях.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Обоснование актуальности темы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приведение положений и доводов, свидетельствующих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пользу научной и прикладной значимости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рабо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при этом необходимо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показать суть проблемной ситуации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помогает разрешить представляемый конкурсантом педагогический опыт.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степени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изученности проблемы 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состояния теоре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и практических исследований по данной теме.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сориентироваться в актуальных проблемах современного образования поможет список рекомендуемых источников (приложение 1).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советуем уделить Федеральным государственным образовательным стандартам нового поколения (ФГОС), их понятийному аппарату (приложение 2).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 Ценностные ориентиры и ведущая идея педагогической деятельности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своего личного и профессионального «Я» педагог должен самоопределиться в ценностных ориентирах собственной педагогической деятельности (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ради чего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осуществляется), вычленить ведущую педагогическую идею системы работы, её составные части (это могут быть уже известные или новые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идеи и технологии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передового педагогического опыта,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отвечающие взглядам педагога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Педагогу необходимо отразить адекватный теоретический базис, т. е.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дать краткое реферативное описание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философских, педагогических, психологи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положений, которые лежат в основе его профессиональной деятельности.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 вторая составляющие описания опыта работы педагога в наибольшей степени демонстрируют его общую и профессиональную эрудицию, умение выявлять инновационные идеи и «вплетать» их в традицию.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 Цель и задачи работы педагога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 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 мысленное 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предвосхищение результата деятельности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 системы работы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педагога 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основной результат, который дол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достигнут в образовательном процессе. Цель выступает как достиже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неких новых состояний, являющихся результатом преодоления противоре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чия, т. е. того, что отражено в проблеме.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описания системы работы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конкретизируют цель, это те вопросы, которые необходимо решить при достижении цели. Формулировки задач должны быть весьма тщательными, поскольку описание их решения должно составлять содержание представляемого педагогом-конкурсантом опыта работы.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ВАЖНО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помнить о соответствии между целью и задачами при описании опыта работы. Задачи должны раскрывать цель работы и в сумме своей быть адекватными этой цели.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4) Технология реализации ведущей педагогической идеи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поставленных задач педагогу необходимо раскрыть содержание своей педагогической деятельности, показать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технологичность образовательного процесса.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«технология» закрепился в образовательной практике относительно недавно (раньше применялся в производственных процессах). Отметим, что слово «технология» в переводе с греческого означает «искусство, мастерство, умение». В отечественной педагогической литературе термин «педагогическая технология» употребляется очень широко и обозначает: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направление дидактики;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технологически разработанную обучающую систему;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• систему методов и приемов педагога.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Специфические черты технологии обучения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диагностично поставленных целей обучения.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Ориентация всех учебных процедур на гарантированное достижение учебных целей.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Оперативная обратная связь, оценка текущих и итоговых результатов.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Воспроизводимость обучающих процедур.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5) Новизна и продуктивность системы работы педагога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новизной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отличие полученных в опыте работы педагога результатов от имеющихся и отраженных в психолого-педагогической литературе.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Новизна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новые знания, факты, данные (методические принципы, конкретные предписания, правила, алгоритмы и т. д.).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Перейдём к рассмотрению структурных элементов конкурсной работы.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Заглавие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описания опыта работы педагога – это максимально информативная часть текста, 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словесная формулировка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предельно краткой форме отражаю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щая 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тематику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работы. Заглавие конструируется в соответствии с требованиями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ясности, точности, краткости, выразительности и адекватности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Отсутствие адекватности загла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работы содержанию считается существенным недостатком. По своему характеру заглавие должно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раскрывать основной результат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полученный педагогом в </w:t>
      </w:r>
      <w:hyperlink r:id="rId7" w:tooltip="Образовательная деятельность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заглавие часто выносятся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доминирующие слова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текста. В этом случае его формулируют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методом ключевых слов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суть которого со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стоит в том, что из системы работы выбираются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наиболее значимые терми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softHyphen/>
        <w:t>ны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их основе составляется список, из которых уже выбирается за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главие.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заглавия педагогу необходимо спросить себя, о чем он хочет сообщить читателю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двух словах.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Ответив для себя на этот вопрос, следует подумать о том, чтобы, помимо прочего, заглавие выглядело бы 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влекательным, выразительным и рекламным.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короче заглавие, тем шире круг освещаемых вопросов, и наоборот,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длинное заглавие,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имеющее подзаголовок,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сужает заявленную тему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самым облегчая работу автору.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Таблица 1.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Типы ошибок в заглавиях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4464"/>
        <w:gridCol w:w="4568"/>
      </w:tblGrid>
      <w:tr w:rsidR="00DD5187" w:rsidRPr="00855953" w:rsidTr="00DD5187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ошибки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определенности в формулировке заглавия, включение в его состав расплывчатых терми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истолковании проблемного обучения.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философии 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спектакля.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образования.</w:t>
            </w:r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указания на аспект рассмотрения (чрезмерно «широ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кое» заглавие)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обучения.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образование.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воспитания и образования в Рос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праздники.</w:t>
            </w:r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указания на предмет рассмотрения (чрезмерно «узкое» заглавие)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уравнением.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воли у первоклассников.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подросткового жаргона во </w:t>
            </w:r>
            <w:hyperlink r:id="rId8" w:tooltip="Внеурочная деятельность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внеурочной деятельности</w:t>
              </w:r>
            </w:hyperlink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стиля научной речи (заглавие, имеющее в своем соста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метафору, пословицу, поговор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ку, риторический вопрос и элемен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публицистического стиля)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это всё...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– искусство, неподвластное времени.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 </w:t>
            </w:r>
            <w:hyperlink r:id="rId9" w:tooltip="Хореограф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хореографическое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ние: вчера, сегодня, завтра</w:t>
            </w:r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составе заглавия не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информативных слов типа: про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блема, роль, место, к вопросу, ак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туальный, перспективы и др.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образования.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аспекты развития и воспитания музыкальных способностей у детей.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подготовки и проведения роди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тельского собрания.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формирования </w:t>
            </w:r>
            <w:hyperlink r:id="rId10" w:tooltip="Информационная культура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информационной культуры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старшеклассников.</w:t>
            </w:r>
          </w:p>
        </w:tc>
      </w:tr>
      <w:tr w:rsidR="00DD5187" w:rsidRPr="00855953" w:rsidTr="00DD518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громоздких </w:t>
            </w:r>
            <w:hyperlink r:id="rId11" w:tooltip="Синтаксис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синтаксических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конструкций, включающих придаточные предложения, причастные, </w:t>
            </w:r>
            <w:hyperlink r:id="rId12" w:tooltip="Деепричастие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деепричастные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фразеологические обороты, из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лишне длинные, неотредактированные выражения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дидактических игр, разви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вающих логическое мышление учащихся </w:t>
            </w:r>
            <w:hyperlink r:id="rId13" w:tooltip="Начальные классы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начальных классов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уроках русского языка во </w:t>
            </w:r>
            <w:hyperlink r:id="rId14" w:tooltip="2 класс" w:history="1">
              <w:r w:rsidRPr="0085595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2 классе</w:t>
              </w:r>
            </w:hyperlink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55953" w:rsidRPr="00855953" w:rsidRDefault="00855953" w:rsidP="00855953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Структура описания системы работы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научный текст состоит из трех частей: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введение (занимает 15 % от всего текста);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основная часть (75 %);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заключение (10 %).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введение и заключение не называются. Основная часть делит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главы или пункты, т. е. составляется либо развернутый план, либо про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стой. Если работу предполагается описывать по главам, необходимо помнить, что должно быть: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менее двух глав;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каждой главе не менее двух параграфов;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названия глав и параграфов не дублируются;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соразмерность количества параграфов в главе по отношению к преды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дущей главе (допустимо равное количество параграфов, или на один больше, или на один меньше).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Примеры оглавления или содержания текста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Оглавление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6"/>
        <w:gridCol w:w="435"/>
      </w:tblGrid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Введение..................................................................................................................................................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1._____________________________________________..........................................................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________________________________________................................................................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___________________________________________..........................................................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2._____________________________________________.......................................................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 ________________________________________................................................................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________________________________________................................................................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________________________________________................................................................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Заключение……………………………………………………………………………………………..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Литература……………………………………………………………………………………………..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D5187" w:rsidRPr="00855953" w:rsidTr="00DD5187">
        <w:tc>
          <w:tcPr>
            <w:tcW w:w="47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…………………………………………………………………………………………...</w:t>
            </w:r>
          </w:p>
        </w:tc>
        <w:tc>
          <w:tcPr>
            <w:tcW w:w="2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505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0"/>
        <w:gridCol w:w="456"/>
      </w:tblGrid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Введение....................................................................................................................................................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___________________________________________..............................................................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___________________________________________..............................................................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___________________________________________..............................................................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___________________________________________..............................................................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___________________________________________..............................................................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Заключение………………………………………………………………………………………………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Литература………………………………………………………………………………………………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D5187" w:rsidRPr="00855953" w:rsidTr="00DD5187">
        <w:tc>
          <w:tcPr>
            <w:tcW w:w="470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…………………………………………………………………………………………….</w:t>
            </w:r>
          </w:p>
        </w:tc>
        <w:tc>
          <w:tcPr>
            <w:tcW w:w="250" w:type="pc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Педагог-конкурсант, оформляя материалы, часто использует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библиогра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фические ссылки.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представлены виды </w:t>
      </w:r>
      <w:hyperlink r:id="rId15" w:tooltip="Библиография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библиографических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ссылок. Необ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помнить, что можно использовать в тексте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только один вариант ссылок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Виды библиографических ссылок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Внутритекстовая ссылка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Владимир Даль дал очень точную, как нам кажется, трактовку: «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Эти</w:t>
      </w: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мология 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есть беседа с прошедшим, с мыслию минувших поколений, вычеканенною ими из звуков». (Даль, В. Толковый словарь живого великорусского языка [Текст] / В. Даль. – М.: Русский язык, 1991. – Т4. - С. 665).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ссылка удобна в небольших текстах (научная статья).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Подстрочная ссылка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Обзор – это результат аналитико-синтетической переработки совокуп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ности документов по определенному вопросу (проблеме, направлению), содержащий систематизированные, обобщенные и критически оцененные сведе</w:t>
      </w: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ния*.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*Более точно эти документы называются аналитическими обюраии в отличие от реферативных и библиографических.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Затекстовая ссылка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ссылка удобна тем, что указывает на список литературы, который прилагается к работе. Примеры таких ссылок представлены в таблице 2.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Таблица 2.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Библиографические (затекстовые) ссылки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5385"/>
      </w:tblGrid>
      <w:tr w:rsidR="00DD5187" w:rsidRPr="00855953" w:rsidTr="00DD5187">
        <w:trPr>
          <w:trHeight w:val="36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библиографической ссылки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Маркёры</w:t>
            </w:r>
          </w:p>
        </w:tc>
      </w:tr>
      <w:tr w:rsidR="00DD5187" w:rsidRPr="00855953" w:rsidTr="00DD5187">
        <w:trPr>
          <w:trHeight w:val="93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Ссылки, содержащие определение понятия, трактовку термина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определением,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приведенным в (6, с. 6), под... будем понимать...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в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современной педагогике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трактуется как; 20-22).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словаре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(12) термин «...» определен как...</w:t>
            </w:r>
          </w:p>
        </w:tc>
      </w:tr>
      <w:tr w:rsidR="00DD5187" w:rsidRPr="00855953" w:rsidTr="00DD5187">
        <w:trPr>
          <w:trHeight w:val="56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Нейтральные ссылки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Проблеме...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посвящены работы (10 – 12).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Опыт...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 в публикациях (8 – 10).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нашел отражение в работах (3, с. 56 – 78; 14, с. 21 – 34).</w:t>
            </w:r>
          </w:p>
        </w:tc>
      </w:tr>
      <w:tr w:rsidR="00DD5187" w:rsidRPr="00855953" w:rsidTr="00DD5187">
        <w:trPr>
          <w:trHeight w:val="319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Ссылки-сопоставления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с элемен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 классификации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Ссылки, отражаю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сходство взглядов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Ссылки, отражаю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различия взглядов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Проблеме...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уделялось серьезное внимание как в публикациях теоретического (12 – 15), так и экспериментального характера (17).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исследования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по... как отечественных (16 – 20), так и зарубежных ученых (47 – 50).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Методика...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привлекла интерес как педагогов (3 – 5), так и теоре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тиков образования (4 – 8), вызвала дискуссию в среде практиче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работников (12 – 22).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Аналогичный прием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 применен вВ соответствии с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концепцией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предложенной в монографии (33), в статье (22) используется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способ...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Противоположная точка зрения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на... высказана в работе (23).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Иной способ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проблемы... предложен в работах (14-18).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отличие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работы (9), трактующей... в исследовании (23), пред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лагается...</w:t>
            </w:r>
          </w:p>
        </w:tc>
      </w:tr>
      <w:tr w:rsidR="00DD5187" w:rsidRPr="00855953" w:rsidTr="00DD5187">
        <w:trPr>
          <w:trHeight w:val="51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Ссылки-опровержения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Вряд ли можно согласиться с тезисом о том, что «...» (Цит. по: 1, с. 241).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авторов статьи (16) о том, что... является весьма спорным.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 в монографии (54)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 решения проблемы...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страдает рядом недостатков...</w:t>
            </w:r>
          </w:p>
        </w:tc>
      </w:tr>
      <w:tr w:rsidR="00DD5187" w:rsidRPr="00855953" w:rsidTr="00DD5187">
        <w:trPr>
          <w:trHeight w:val="7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Ссылки-соглашения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нашей точки зрения, наиболее плодотворный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подход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 в работах (37 – 41).</w:t>
            </w:r>
          </w:p>
          <w:p w:rsidR="00DD5187" w:rsidRPr="00855953" w:rsidRDefault="00DD5187" w:rsidP="008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согласиться </w:t>
            </w:r>
            <w:r w:rsidRPr="008559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выводом,</w:t>
            </w:r>
            <w:r w:rsidRPr="008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полученным в исследованиях (54 – 56)</w:t>
            </w:r>
          </w:p>
        </w:tc>
      </w:tr>
    </w:tbl>
    <w:p w:rsidR="00855953" w:rsidRPr="00855953" w:rsidRDefault="00855953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187" w:rsidRPr="00855953" w:rsidRDefault="00DD5187" w:rsidP="008559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словес</w:t>
      </w: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клише для оформления работы</w:t>
      </w:r>
    </w:p>
    <w:p w:rsidR="00855953" w:rsidRPr="00855953" w:rsidRDefault="00855953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Активизирующие: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подчеркнем, отметим.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Акцентирующие: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заметить, большое значение.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Возражающие: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не менее, однако, но.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Временные: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будущем, в... году, в конце, в период с... по... в современ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условиях, в течение, во время, до сих пор, до тех пор, пока, за (период), по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еще, с... года, с этого времени, сейчас, теперь (тогда), через... лет.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необходимость: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 необходимо, нужно, надо.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одновременность: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 же время, вместе с тем, одновре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присоединение: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также, и, не только, но и, также, так же, как 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повтор: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вновь, ещё, ещё раз, снова, опять,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сомнение: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вероятно, может быть.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сравнение: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аналогичный, идентичный, наибольший, наи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лучший, наименьший, по сравнению с, точно так.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Выражающие уверенность: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безусловно; несомненно; не кто иной, как; не что иное, как; до и после; до того, как; на порядок, на уровне, незначитель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около (приблизительно), от... до, почти, с приближением, с точностью.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Дополняющие: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дополнение к, в остальном, к тому же, кроме того.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Обобщающие: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общих чертах, в основном, в среднем, всё, всё больше, всё это, таким образом, в целом.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Объясняющие: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поскольку, потому что.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Описывающие: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подобным образом, точно так.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Определяющие аспект: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отношении, в плане, в разрезе, в свете, в смыс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Определяющие границу, предел: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близкий к, в диапазоне, в интервале, в масштабе, в рамках, в ряду, в стадии, высокий, достаточно, значительный, мак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симальный, минимальный, много, настолько, что, небольшой, новый, обычна, оптимальный, полностью, положительно, постоянный, равный, различный, ре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комендуемый, слбжный, специальный, существенный, точный, эквивалентный.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Отличающие: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от, другой, иначе, иной, по-другому, по-иному.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Перечислительные: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первом случае, во втором случае, первый, второй, во-первых, во-вторых.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Перефразирующие: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другими словами, иными словами, иначе говоря.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Противительные: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противном случае, в противоположность, в про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тиворечие с, при необходимости.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Отсылающие к изложенному выше: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выведенный, выработанный, вы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шеописанный, вышеприведенный, вышеуказанный, изложенный, описанный, полученный, 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предложенный, предшествующий, предыдущий, приведенный, разработанный, указанный, упомянутый.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Оценочные: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важный, весьма, в то время как, да, или же, не... а, несмотря на, однако, с одной стороны, тогда как, хотя.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Результирующие: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результате, всего, значит, как видно, наконец, отсю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по результатам, следовательно, так что, таким образом, тем самым.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Утверждающие: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да.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Уточняющие: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частью, больше всего, в большинстве случаев, в ситуации, в случае, в том случае, когда, в том числе, в узком смысле слова, в условиях, в частности, при (во время).</w:t>
      </w:r>
    </w:p>
    <w:p w:rsidR="00DD5187" w:rsidRPr="00855953" w:rsidRDefault="00DD5187" w:rsidP="0085595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Использованная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Региональные </w:t>
      </w:r>
      <w:hyperlink r:id="rId16" w:tooltip="Конкурсы профессиональные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конкурсы профессионального мастерства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педагогов Кузбасса [Текст] : научно-методическое пособие / Авт.-сост.: , Т. Н. Семенкова, Н. А. Заруба и др. – Кемерово: Изд-во КРИПКиПРО, 2005. – С. 21 – 23, 29 – 40.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и представление системы работы педагога в условиях профессионального конкурса [Текст] : методическое пособие / Авт.-сост.: И. А. Свиридова, Т. Н. Семенкова, Н. А. Заруба и др. – Кемерово: Изд-во КРИПКиПРО, 2005. – С. 5 – 22.</w:t>
      </w:r>
    </w:p>
    <w:p w:rsidR="00DD5187" w:rsidRPr="00855953" w:rsidRDefault="00DD5187" w:rsidP="008559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Рекомендуемые источники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 Концепция долгосрочного </w:t>
      </w:r>
      <w:hyperlink r:id="rId17" w:tooltip="Социально-экономическое развитие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Российской Федерации на период до 2020 года (утверждена распоряжением Правительства Российской Федерации от 01.01.01 г. 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Федеральный закон «Об образовании в Российской Федерации» (проект).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Федеральный закон от 01.01.2001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 (и плакат по ФЗ-№ 83).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Национальная образовательная инициатива "Наша новая школа" (утв. Президентом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Российской Федерации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Д. Медведевым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04 </w:t>
      </w:r>
      <w:hyperlink r:id="rId18" w:tooltip="Февраль 2010 г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февраля 2010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г. Пр-271).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Доклад Правительства Российской Федерации о реализации национальной образовательной инициативы «Наша новая школа» в 2010-м году (проект).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Доклад </w:t>
      </w:r>
      <w:hyperlink r:id="rId19" w:tooltip="Кемеровская обл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Кемеровской области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«О результатах реализации Национальной образовательной инициативы «Наша новая школа» за 2010 год.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Пояснительная записка и ФГОС для основного общего образования, утвержденный приказом Министерства образования и науки Российской Федерации от 17 </w:t>
      </w:r>
      <w:hyperlink r:id="rId20" w:tooltip="Декабрь 2010 г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декабря 2010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г. № 000.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8. Письмо департамента общего образования Министерства образования и науки Российской Федерации от 16 </w:t>
      </w:r>
      <w:hyperlink r:id="rId21" w:tooltip="Ноябрь 2010 г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ноября 2010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г. № 01-04/75 «О направлении проекта федерального государственного образовательного стандарта среднего (полного) общего образования», Пояснительная записка и два варианта проекта ФГОС для среднего (полного) общего образования (2010 г., 2011 г.).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Приказ Министерства образования и науки Российской Федерации от 04 </w:t>
      </w:r>
      <w:hyperlink r:id="rId22" w:tooltip="Октябрь 2010 г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октября 2010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Минюстом России 3 </w:t>
      </w:r>
      <w:hyperlink r:id="rId23" w:tooltip="Февраль 2011 г.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февраля 2011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г., регистрационный № 19682) и утвержденные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Постановление Главного государственного санитарного врача Российской Федерации от 01.01.01 г. № 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(зарегистрировано в Минюсте России 03.03.2011, регистрационный номер 19993) и утвержденные Санитарно-эпидемиологические требования к условиям и организации обучения в общеобразовательных учреждениях.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Родионова О. Пиршество идей и приёмов [Текст] // УГ. – 2009. – № 42 (10279). – С. 9.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http://*****/ (сайт Министерства образования и науки РФ).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 http://standart. *****/ (сайт ФГОС).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http://*****/node/56 (пресс-центр конкурса «Учитель года России - 2011»).</w:t>
      </w:r>
    </w:p>
    <w:p w:rsidR="00DD5187" w:rsidRPr="00855953" w:rsidRDefault="00DD5187" w:rsidP="00855953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2</w:t>
      </w:r>
    </w:p>
    <w:p w:rsidR="00DD5187" w:rsidRPr="00855953" w:rsidRDefault="00DD5187" w:rsidP="008559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Используемые понятия, обозначения и сокращения</w:t>
      </w:r>
    </w:p>
    <w:p w:rsidR="00DD5187" w:rsidRPr="00855953" w:rsidRDefault="00DD5187" w:rsidP="008559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Примерной основной </w:t>
      </w:r>
      <w:hyperlink r:id="rId24" w:tooltip="Образовательные программы" w:history="1">
        <w:r w:rsidRPr="0085595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образовательной программы</w:t>
        </w:r>
      </w:hyperlink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ОУ</w:t>
      </w:r>
    </w:p>
    <w:p w:rsidR="00DD5187" w:rsidRPr="00855953" w:rsidRDefault="00DD5187" w:rsidP="008559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(основная школа)</w:t>
      </w:r>
    </w:p>
    <w:bookmarkEnd w:id="0"/>
    <w:p w:rsidR="00855953" w:rsidRPr="00855953" w:rsidRDefault="00855953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Базовые национальные ценности – 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Гражданское общество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–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 </w:t>
      </w:r>
      <w:hyperlink r:id="rId25" w:tooltip="Правовые нормы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правовые нормы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Дети с ограниченными возможностями здоровья (ОВЗ)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Духовно-нравственное воспитание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Духовно-нравственное развитие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ИКТ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информационные и коммуникационные технологии – современные средства обработки и передачи информации, включая соответствующее оборудование, </w:t>
      </w:r>
      <w:hyperlink r:id="rId26" w:tooltip="Программное обеспечение" w:history="1">
        <w:r w:rsidRPr="00855953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программное обеспечение</w:t>
        </w:r>
      </w:hyperlink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модели, методы и регламенты их применения.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ИКТ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noBreakHyphen/>
        <w:t>компетентность (или информационная компетентность) профессиональная (для учителя)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ИКТ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noBreakHyphen/>
        <w:t>компетентность учебная (для обучающегося)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умение, способность и готовность решать учебные задачи квалифицированным образом, используя средства ИКТ.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Индивидуальная образовательная траектория обучающегося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Инновационная профессиональная деятельность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Инновационная экономика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экономика, основанная на знаниях, создании, внедрении и использовании инноваций.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Информационная деятельность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Информационное общество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Компетентность</w:t>
      </w: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–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Компетенция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Концепция духовно-нравственного развития и воспитания личности гражданина России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Национальное самосознание (гражданская идентичность) 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среда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Патриотизм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 обобщённых личностно ориентированных целей образования, уточнённых и </w:t>
      </w:r>
      <w:hyperlink r:id="rId27" w:tooltip="Дифференция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дифференцированных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Программа формирования универсальных учебных действий –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Социализация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Стандарт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государственный образовательный стандарт основного общего образования.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Толерантность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терпимость к чужим мнениям, верованиям, поведению.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Учебная деятельность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DD5187" w:rsidRPr="00855953" w:rsidRDefault="00DD5187" w:rsidP="008559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Федеральные государственные образовательные стандарты - </w:t>
      </w:r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 </w:t>
      </w:r>
      <w:hyperlink r:id="rId28" w:tooltip="Правовые акты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правовые акты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 </w:t>
      </w:r>
      <w:hyperlink r:id="rId29" w:tooltip="Профессиональное образование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образовательными учреждениями, имеющими </w:t>
      </w:r>
      <w:hyperlink r:id="rId30" w:tooltip="Государственная аккредитация" w:history="1">
        <w:r w:rsidRPr="00855953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государственную аккредитацию</w:t>
        </w:r>
      </w:hyperlink>
      <w:r w:rsidRPr="0085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F3A" w:rsidRPr="00855953" w:rsidRDefault="009E3F3A" w:rsidP="00855953">
      <w:pPr>
        <w:rPr>
          <w:rFonts w:ascii="Times New Roman" w:hAnsi="Times New Roman" w:cs="Times New Roman"/>
          <w:sz w:val="24"/>
          <w:szCs w:val="24"/>
        </w:rPr>
      </w:pPr>
    </w:p>
    <w:sectPr w:rsidR="009E3F3A" w:rsidRPr="00855953" w:rsidSect="00D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0FD0"/>
    <w:rsid w:val="0002394A"/>
    <w:rsid w:val="001E0FD0"/>
    <w:rsid w:val="00855953"/>
    <w:rsid w:val="009E3F3A"/>
    <w:rsid w:val="00D37754"/>
    <w:rsid w:val="00DD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urochnaya_deyatelmznostmz/" TargetMode="External"/><Relationship Id="rId13" Type="http://schemas.openxmlformats.org/officeDocument/2006/relationships/hyperlink" Target="https://pandia.ru/text/category/nachalmznie_klassi/" TargetMode="External"/><Relationship Id="rId18" Type="http://schemas.openxmlformats.org/officeDocument/2006/relationships/hyperlink" Target="https://pandia.ru/text/category/fevralmz_2010_g_/" TargetMode="External"/><Relationship Id="rId26" Type="http://schemas.openxmlformats.org/officeDocument/2006/relationships/hyperlink" Target="https://pandia.ru/text/category/programmnoe_obespeche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noyabrmz_2010_g_/" TargetMode="Externa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hyperlink" Target="https://pandia.ru/text/category/deeprichastie/" TargetMode="External"/><Relationship Id="rId17" Type="http://schemas.openxmlformats.org/officeDocument/2006/relationships/hyperlink" Target="https://pandia.ru/text/category/sotcialmzno_yekonomicheskoe_razvitie/" TargetMode="External"/><Relationship Id="rId25" Type="http://schemas.openxmlformats.org/officeDocument/2006/relationships/hyperlink" Target="https://pandia.ru/text/category/pravovie_normi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konkursi_professionalmznie/" TargetMode="External"/><Relationship Id="rId20" Type="http://schemas.openxmlformats.org/officeDocument/2006/relationships/hyperlink" Target="https://pandia.ru/text/category/dekabrmz_2010_g_/" TargetMode="External"/><Relationship Id="rId29" Type="http://schemas.openxmlformats.org/officeDocument/2006/relationships/hyperlink" Target="https://pandia.ru/text/category/professionalmznoe_obrazov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usskij_yazik/" TargetMode="External"/><Relationship Id="rId11" Type="http://schemas.openxmlformats.org/officeDocument/2006/relationships/hyperlink" Target="https://pandia.ru/text/category/sintaksis/" TargetMode="External"/><Relationship Id="rId24" Type="http://schemas.openxmlformats.org/officeDocument/2006/relationships/hyperlink" Target="https://pandia.ru/text/category/obrazovatelmznie_programm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professionalmznaya_deyatelmznostmz/" TargetMode="External"/><Relationship Id="rId15" Type="http://schemas.openxmlformats.org/officeDocument/2006/relationships/hyperlink" Target="https://pandia.ru/text/category/bibliografiya/" TargetMode="External"/><Relationship Id="rId23" Type="http://schemas.openxmlformats.org/officeDocument/2006/relationships/hyperlink" Target="https://pandia.ru/text/category/fevralmz_2011_g_/" TargetMode="External"/><Relationship Id="rId28" Type="http://schemas.openxmlformats.org/officeDocument/2006/relationships/hyperlink" Target="https://pandia.ru/text/category/pravovie_akti/" TargetMode="External"/><Relationship Id="rId10" Type="http://schemas.openxmlformats.org/officeDocument/2006/relationships/hyperlink" Target="https://pandia.ru/text/category/informatcionnaya_kulmztura/" TargetMode="External"/><Relationship Id="rId19" Type="http://schemas.openxmlformats.org/officeDocument/2006/relationships/hyperlink" Target="https://pandia.ru/text/category/kemerovskaya_obl_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andia.ru/text/category/dopolnitelmznoe_obrazovanie/" TargetMode="External"/><Relationship Id="rId9" Type="http://schemas.openxmlformats.org/officeDocument/2006/relationships/hyperlink" Target="https://pandia.ru/text/category/horeograf/" TargetMode="External"/><Relationship Id="rId14" Type="http://schemas.openxmlformats.org/officeDocument/2006/relationships/hyperlink" Target="https://pandia.ru/text/category/2_klass/" TargetMode="External"/><Relationship Id="rId22" Type="http://schemas.openxmlformats.org/officeDocument/2006/relationships/hyperlink" Target="https://pandia.ru/text/category/oktyabrmz_2010_g_/" TargetMode="External"/><Relationship Id="rId27" Type="http://schemas.openxmlformats.org/officeDocument/2006/relationships/hyperlink" Target="https://pandia.ru/text/category/differentciya/" TargetMode="External"/><Relationship Id="rId30" Type="http://schemas.openxmlformats.org/officeDocument/2006/relationships/hyperlink" Target="https://pandia.ru/text/category/gosudarstvennaya_akkredi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4548</Words>
  <Characters>25924</Characters>
  <Application>Microsoft Office Word</Application>
  <DocSecurity>0</DocSecurity>
  <Lines>216</Lines>
  <Paragraphs>60</Paragraphs>
  <ScaleCrop>false</ScaleCrop>
  <Company>Microsoft</Company>
  <LinksUpToDate>false</LinksUpToDate>
  <CharactersWithSpaces>30412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BEST</cp:lastModifiedBy>
  <cp:revision>2</cp:revision>
  <dcterms:created xsi:type="dcterms:W3CDTF">2019-02-04T05:55:00Z</dcterms:created>
  <dcterms:modified xsi:type="dcterms:W3CDTF">2019-02-04T05:55:00Z</dcterms:modified>
</cp:coreProperties>
</file>